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4FD0AA55"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xml:space="preserve">; therefore, we do not believe that 11BHSD1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11BHSD2 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11BHSD2 transcripts. Also, the administration of dexamethasone does not mean that there is no endogenous GC signaling occurring, which would be acted on by 11BHSD1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726CCBE" w14:textId="77777777" w:rsidR="005868E2" w:rsidRDefault="005868E2" w:rsidP="004E3631">
      <w:pPr>
        <w:rPr>
          <w:color w:val="31849B" w:themeColor="accent5" w:themeShade="BF"/>
        </w:rPr>
      </w:pPr>
    </w:p>
    <w:p w14:paraId="76894FD7" w14:textId="5ADC1C21" w:rsidR="005868E2" w:rsidRDefault="005868E2" w:rsidP="004E3631">
      <w:pPr>
        <w:rPr>
          <w:color w:val="31849B" w:themeColor="accent5" w:themeShade="BF"/>
        </w:rPr>
      </w:pPr>
      <w:r>
        <w:rPr>
          <w:color w:val="31849B" w:themeColor="accent5" w:themeShade="BF"/>
        </w:rPr>
        <w:t>This point has been addressed in the revised manuscript. Please see the insert below:</w:t>
      </w:r>
    </w:p>
    <w:p w14:paraId="0CC8DB80" w14:textId="77777777" w:rsidR="005868E2" w:rsidRDefault="005868E2" w:rsidP="004E3631">
      <w:pPr>
        <w:rPr>
          <w:color w:val="31849B" w:themeColor="accent5" w:themeShade="BF"/>
        </w:rPr>
      </w:pPr>
    </w:p>
    <w:p w14:paraId="409FA85C" w14:textId="3E4DDAC3" w:rsidR="005868E2" w:rsidRPr="005868E2" w:rsidRDefault="005868E2" w:rsidP="005868E2">
      <w:pPr>
        <w:spacing w:line="480" w:lineRule="auto"/>
        <w:rPr>
          <w:color w:val="31849B" w:themeColor="accent5" w:themeShade="BF"/>
        </w:rPr>
      </w:pPr>
      <w:r w:rsidRPr="005868E2">
        <w:rPr>
          <w:color w:val="31849B" w:themeColor="accent5" w:themeShade="BF"/>
        </w:rPr>
        <w:t xml:space="preserve"> </w:t>
      </w:r>
      <w:r w:rsidRPr="005868E2">
        <w:rPr>
          <w:color w:val="31849B" w:themeColor="accent5" w:themeShade="BF"/>
        </w:rPr>
        <w:t>“</w:t>
      </w:r>
      <w:r w:rsidRPr="005868E2">
        <w:rPr>
          <w:color w:val="31849B" w:themeColor="accent5" w:themeShade="BF"/>
        </w:rPr>
        <w:t xml:space="preserve">A recent study involving the 6-week old c57BL/6J mice treated with 100ug/ml </w:t>
      </w:r>
      <w:proofErr w:type="spellStart"/>
      <w:r w:rsidRPr="005868E2">
        <w:rPr>
          <w:color w:val="31849B" w:themeColor="accent5" w:themeShade="BF"/>
        </w:rPr>
        <w:t>corticosterone</w:t>
      </w:r>
      <w:proofErr w:type="spellEnd"/>
      <w:r w:rsidRPr="005868E2">
        <w:rPr>
          <w:color w:val="31849B" w:themeColor="accent5" w:themeShade="BF"/>
        </w:rPr>
        <w:t xml:space="preserve"> (CORT) for 5 weeks found similar phenotypic results (increased fat mass, decreased lean mass and strength, and decreased insulin sensitivity), but reported no change in </w:t>
      </w:r>
      <w:proofErr w:type="spellStart"/>
      <w:r w:rsidRPr="005868E2">
        <w:rPr>
          <w:color w:val="31849B" w:themeColor="accent5" w:themeShade="BF"/>
        </w:rPr>
        <w:t>lipogenic</w:t>
      </w:r>
      <w:proofErr w:type="spellEnd"/>
      <w:r w:rsidRPr="005868E2">
        <w:rPr>
          <w:color w:val="31849B" w:themeColor="accent5" w:themeShade="BF"/>
        </w:rPr>
        <w:t xml:space="preserve"> transcripts of </w:t>
      </w:r>
      <w:r w:rsidRPr="005868E2">
        <w:rPr>
          <w:i/>
          <w:color w:val="31849B" w:themeColor="accent5" w:themeShade="BF"/>
        </w:rPr>
        <w:t xml:space="preserve">Acaca1 </w:t>
      </w:r>
      <w:r w:rsidRPr="005868E2">
        <w:rPr>
          <w:color w:val="31849B" w:themeColor="accent5" w:themeShade="BF"/>
        </w:rPr>
        <w:t xml:space="preserve">and </w:t>
      </w:r>
      <w:proofErr w:type="spellStart"/>
      <w:r w:rsidRPr="005868E2">
        <w:rPr>
          <w:i/>
          <w:color w:val="31849B" w:themeColor="accent5" w:themeShade="BF"/>
        </w:rPr>
        <w:t>Fasn</w:t>
      </w:r>
      <w:proofErr w:type="spellEnd"/>
      <w:r w:rsidRPr="005868E2">
        <w:rPr>
          <w:color w:val="31849B" w:themeColor="accent5" w:themeShade="BF"/>
        </w:rPr>
        <w:t xml:space="preserve"> in adipose tissue between CORT treated and control mice; though, </w:t>
      </w:r>
      <w:r w:rsidRPr="005868E2">
        <w:rPr>
          <w:i/>
          <w:color w:val="31849B" w:themeColor="accent5" w:themeShade="BF"/>
        </w:rPr>
        <w:t>Dgat2</w:t>
      </w:r>
      <w:r w:rsidRPr="005868E2">
        <w:rPr>
          <w:color w:val="31849B" w:themeColor="accent5" w:themeShade="BF"/>
        </w:rPr>
        <w:t xml:space="preserve"> transcripts were significantly elevated (</w:t>
      </w:r>
      <w:commentRangeStart w:id="1"/>
      <w:r w:rsidRPr="005868E2">
        <w:rPr>
          <w:color w:val="31849B" w:themeColor="accent5" w:themeShade="BF"/>
        </w:rPr>
        <w:t>Morgan et al., 2014</w:t>
      </w:r>
      <w:commentRangeEnd w:id="1"/>
      <w:r w:rsidRPr="005868E2">
        <w:rPr>
          <w:rStyle w:val="CommentReference"/>
          <w:color w:val="31849B" w:themeColor="accent5" w:themeShade="BF"/>
        </w:rPr>
        <w:commentReference w:id="1"/>
      </w:r>
      <w:r w:rsidRPr="005868E2">
        <w:rPr>
          <w:color w:val="31849B" w:themeColor="accent5" w:themeShade="BF"/>
        </w:rPr>
        <w:t xml:space="preserve">). We noted slight elevations in all of these mRNA transcripts in our mice, with significant elevations seen in the human adipose tissue samples. There are multiple differences between this study and our study leading to several possible reasons why these results are somewhat inconsistent with the present findings, including the form and dose of glucocorticoids (100ug/ml CORT in </w:t>
      </w:r>
      <w:proofErr w:type="spellStart"/>
      <w:r w:rsidRPr="005868E2">
        <w:rPr>
          <w:color w:val="31849B" w:themeColor="accent5" w:themeShade="BF"/>
        </w:rPr>
        <w:t>EtOH</w:t>
      </w:r>
      <w:proofErr w:type="spellEnd"/>
      <w:r w:rsidRPr="005868E2">
        <w:rPr>
          <w:color w:val="31849B" w:themeColor="accent5" w:themeShade="BF"/>
        </w:rPr>
        <w:t xml:space="preserve"> vs. 1mg/kg/d Dexamethasone in water), the age of the mice (40d </w:t>
      </w:r>
      <w:proofErr w:type="spellStart"/>
      <w:r w:rsidRPr="005868E2">
        <w:rPr>
          <w:color w:val="31849B" w:themeColor="accent5" w:themeShade="BF"/>
        </w:rPr>
        <w:t>vs</w:t>
      </w:r>
      <w:proofErr w:type="spellEnd"/>
      <w:r w:rsidRPr="005868E2">
        <w:rPr>
          <w:color w:val="31849B" w:themeColor="accent5" w:themeShade="BF"/>
        </w:rPr>
        <w:t xml:space="preserve"> 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w:t>
      </w:r>
      <w:r w:rsidRPr="005868E2">
        <w:rPr>
          <w:rFonts w:ascii="Cambria" w:hAnsi="Cambria"/>
          <w:color w:val="31849B" w:themeColor="accent5" w:themeShade="BF"/>
        </w:rPr>
        <w:t>β</w:t>
      </w:r>
      <w:r w:rsidRPr="005868E2">
        <w:rPr>
          <w:color w:val="31849B" w:themeColor="accent5" w:themeShade="BF"/>
        </w:rPr>
        <w:t>-HSD1/2. According to previous research, dexamethasone is not metabolized by 11</w:t>
      </w:r>
      <w:r w:rsidRPr="005868E2">
        <w:rPr>
          <w:rFonts w:ascii="Cambria" w:hAnsi="Cambria"/>
          <w:color w:val="31849B" w:themeColor="accent5" w:themeShade="BF"/>
        </w:rPr>
        <w:t>β</w:t>
      </w:r>
      <w:r w:rsidRPr="005868E2">
        <w:rPr>
          <w:color w:val="31849B" w:themeColor="accent5" w:themeShade="BF"/>
        </w:rPr>
        <w:t>-HSD1 (responsible for the conversion of inactive cortisone to active cortisol), which would not be necessary as it is already in the active form, but is metabolized by 11</w:t>
      </w:r>
      <w:r w:rsidRPr="005868E2">
        <w:rPr>
          <w:rFonts w:ascii="Cambria" w:hAnsi="Cambria"/>
          <w:color w:val="31849B" w:themeColor="accent5" w:themeShade="BF"/>
        </w:rPr>
        <w:t>β</w:t>
      </w:r>
      <w:r w:rsidRPr="005868E2">
        <w:rPr>
          <w:color w:val="31849B" w:themeColor="accent5" w:themeShade="BF"/>
        </w:rPr>
        <w:t>-HSD2 (has the reverse action of 11</w:t>
      </w:r>
      <w:r w:rsidRPr="005868E2">
        <w:rPr>
          <w:rFonts w:ascii="Cambria" w:hAnsi="Cambria"/>
          <w:color w:val="31849B" w:themeColor="accent5" w:themeShade="BF"/>
        </w:rPr>
        <w:t>β</w:t>
      </w:r>
      <w:r w:rsidRPr="005868E2">
        <w:rPr>
          <w:color w:val="31849B" w:themeColor="accent5" w:themeShade="BF"/>
        </w:rPr>
        <w:t>-</w:t>
      </w:r>
      <w:commentRangeStart w:id="2"/>
      <w:r w:rsidRPr="005868E2">
        <w:rPr>
          <w:color w:val="31849B" w:themeColor="accent5" w:themeShade="BF"/>
        </w:rPr>
        <w:t>HSD1</w:t>
      </w:r>
      <w:commentRangeEnd w:id="2"/>
      <w:r w:rsidRPr="005868E2">
        <w:rPr>
          <w:rStyle w:val="CommentReference"/>
          <w:color w:val="31849B" w:themeColor="accent5" w:themeShade="BF"/>
        </w:rPr>
        <w:commentReference w:id="2"/>
      </w:r>
      <w:r w:rsidRPr="005868E2">
        <w:rPr>
          <w:color w:val="31849B" w:themeColor="accent5" w:themeShade="BF"/>
        </w:rPr>
        <w:t xml:space="preserve">). Therefore, there should be just as much negative regulation of glucocorticoid signaling. However, CORT is not as potent or as specific for the GR and </w:t>
      </w:r>
      <w:proofErr w:type="gramStart"/>
      <w:r w:rsidRPr="005868E2">
        <w:rPr>
          <w:color w:val="31849B" w:themeColor="accent5" w:themeShade="BF"/>
        </w:rPr>
        <w:t>is thought to be subjected</w:t>
      </w:r>
      <w:proofErr w:type="gramEnd"/>
      <w:r w:rsidRPr="005868E2">
        <w:rPr>
          <w:color w:val="31849B" w:themeColor="accent5" w:themeShade="BF"/>
        </w:rPr>
        <w:t xml:space="preserve"> to more local </w:t>
      </w:r>
      <w:commentRangeStart w:id="3"/>
      <w:r w:rsidRPr="005868E2">
        <w:rPr>
          <w:color w:val="31849B" w:themeColor="accent5" w:themeShade="BF"/>
        </w:rPr>
        <w:t>modulation</w:t>
      </w:r>
      <w:commentRangeEnd w:id="3"/>
      <w:r w:rsidRPr="005868E2">
        <w:rPr>
          <w:rStyle w:val="CommentReference"/>
          <w:color w:val="31849B" w:themeColor="accent5" w:themeShade="BF"/>
        </w:rPr>
        <w:commentReference w:id="3"/>
      </w:r>
      <w:r w:rsidRPr="005868E2">
        <w:rPr>
          <w:color w:val="31849B" w:themeColor="accent5" w:themeShade="BF"/>
        </w:rPr>
        <w:t xml:space="preserve">. Increased duration of elevated glucocorticoids may have had a more pronounced effect on the </w:t>
      </w:r>
      <w:proofErr w:type="spellStart"/>
      <w:r w:rsidRPr="005868E2">
        <w:rPr>
          <w:color w:val="31849B" w:themeColor="accent5" w:themeShade="BF"/>
        </w:rPr>
        <w:t>lipogenic</w:t>
      </w:r>
      <w:proofErr w:type="spellEnd"/>
      <w:r w:rsidRPr="005868E2">
        <w:rPr>
          <w:color w:val="31849B" w:themeColor="accent5" w:themeShade="BF"/>
        </w:rPr>
        <w:t xml:space="preserve">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t>
      </w:r>
      <w:r w:rsidRPr="005868E2">
        <w:rPr>
          <w:color w:val="31849B" w:themeColor="accent5" w:themeShade="BF"/>
        </w:rPr>
        <w:t>”</w:t>
      </w:r>
    </w:p>
    <w:p w14:paraId="480AA2CB" w14:textId="77777777" w:rsidR="005868E2" w:rsidRDefault="005868E2" w:rsidP="005868E2">
      <w:pPr>
        <w:spacing w:line="480" w:lineRule="auto"/>
      </w:pPr>
    </w:p>
    <w:p w14:paraId="49300F34" w14:textId="77777777" w:rsidR="005868E2" w:rsidRDefault="005868E2" w:rsidP="004E3631">
      <w:pPr>
        <w:rPr>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4"/>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5"/>
      <w:r w:rsidR="005D3C08" w:rsidRPr="002734E4">
        <w:rPr>
          <w:rFonts w:ascii="Times New Roman" w:eastAsia="Times New Roman" w:hAnsi="Times New Roman" w:cs="Times New Roman"/>
          <w:color w:val="212121"/>
          <w:sz w:val="22"/>
          <w:shd w:val="clear" w:color="auto" w:fill="FFFFFF"/>
        </w:rPr>
        <w:t>reported</w:t>
      </w:r>
      <w:commentRangeEnd w:id="5"/>
      <w:r w:rsidR="0071259A">
        <w:rPr>
          <w:rStyle w:val="CommentReference"/>
        </w:rPr>
        <w:commentReference w:id="5"/>
      </w:r>
      <w:r w:rsidR="005D3C08" w:rsidRPr="002734E4">
        <w:rPr>
          <w:rFonts w:ascii="Times New Roman" w:eastAsia="Times New Roman" w:hAnsi="Times New Roman" w:cs="Times New Roman"/>
          <w:color w:val="212121"/>
          <w:sz w:val="22"/>
          <w:shd w:val="clear" w:color="auto" w:fill="FFFFFF"/>
        </w:rPr>
        <w:t>.</w:t>
      </w:r>
      <w:commentRangeEnd w:id="4"/>
      <w:r w:rsidRPr="002734E4">
        <w:rPr>
          <w:rStyle w:val="CommentReference"/>
          <w:rFonts w:ascii="Times New Roman" w:hAnsi="Times New Roman" w:cs="Times New Roman"/>
          <w:sz w:val="22"/>
          <w:szCs w:val="24"/>
        </w:rPr>
        <w:commentReference w:id="4"/>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A3C2C6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AB76100"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(Figure 1)</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6"/>
      <w:commentRangeStart w:id="7"/>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6"/>
      <w:r w:rsidR="003619DC">
        <w:rPr>
          <w:rStyle w:val="CommentReference"/>
        </w:rPr>
        <w:commentReference w:id="6"/>
      </w:r>
      <w:commentRangeEnd w:id="7"/>
      <w:r w:rsidR="00D1432F">
        <w:rPr>
          <w:rStyle w:val="CommentReference"/>
        </w:rPr>
        <w:commentReference w:id="7"/>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8"/>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8"/>
      <w:r w:rsidR="00636E17">
        <w:rPr>
          <w:rStyle w:val="CommentReference"/>
        </w:rPr>
        <w:commentReference w:id="8"/>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3A4CFC4C"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9"/>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9"/>
      <w:r>
        <w:rPr>
          <w:rStyle w:val="CommentReference"/>
        </w:rPr>
        <w:commentReference w:id="9"/>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w:t>
      </w:r>
      <w:r w:rsidR="00CE14B9">
        <w:rPr>
          <w:color w:val="31849B" w:themeColor="accent5" w:themeShade="BF"/>
        </w:rPr>
        <w:t xml:space="preserve"> of Cushing’s patients</w:t>
      </w:r>
      <w:bookmarkStart w:id="10" w:name="_GoBack"/>
      <w:bookmarkEnd w:id="10"/>
      <w:r w:rsidR="006B66DA" w:rsidRPr="006B66DA">
        <w:rPr>
          <w:color w:val="31849B" w:themeColor="accent5" w:themeShade="BF"/>
        </w:rPr>
        <w:t>,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11"/>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11"/>
      <w:r w:rsidR="0075433D">
        <w:rPr>
          <w:rStyle w:val="CommentReference"/>
        </w:rPr>
        <w:commentReference w:id="11"/>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2D02122"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w:t>
      </w:r>
      <w:r w:rsidR="00D1432F">
        <w:rPr>
          <w:rFonts w:ascii="Times New Roman" w:eastAsia="Times New Roman" w:hAnsi="Times New Roman" w:cs="Times New Roman"/>
          <w:b/>
          <w:color w:val="FF0000"/>
          <w:sz w:val="22"/>
          <w:shd w:val="clear" w:color="auto" w:fill="FFFFFF"/>
        </w:rPr>
        <w:t>high through put sequencing</w:t>
      </w:r>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69762265" w14:textId="77777777" w:rsidR="00CE14B9" w:rsidRPr="00CE14B9" w:rsidRDefault="00CE14B9" w:rsidP="00CE14B9">
      <w:pPr>
        <w:spacing w:line="480" w:lineRule="auto"/>
        <w:rPr>
          <w:color w:val="31849B" w:themeColor="accent5" w:themeShade="BF"/>
        </w:rPr>
      </w:pPr>
      <w:r w:rsidRPr="00CE14B9">
        <w:rPr>
          <w:color w:val="31849B" w:themeColor="accent5" w:themeShade="BF"/>
        </w:rPr>
        <w:t xml:space="preserve">These findings are consistent with our observed elevations of </w:t>
      </w:r>
      <w:proofErr w:type="spellStart"/>
      <w:r w:rsidRPr="00CE14B9">
        <w:rPr>
          <w:color w:val="31849B" w:themeColor="accent5" w:themeShade="BF"/>
        </w:rPr>
        <w:t>lipogenesis</w:t>
      </w:r>
      <w:proofErr w:type="spellEnd"/>
      <w:r w:rsidRPr="00CE14B9">
        <w:rPr>
          <w:color w:val="31849B" w:themeColor="accent5" w:themeShade="BF"/>
        </w:rPr>
        <w:t xml:space="preserve"> mRNA transcripts in human and mouse subcutaneous adipose tissue.  Important </w:t>
      </w:r>
      <w:proofErr w:type="spellStart"/>
      <w:r w:rsidRPr="00CE14B9">
        <w:rPr>
          <w:color w:val="31849B" w:themeColor="accent5" w:themeShade="BF"/>
        </w:rPr>
        <w:t>trancripts</w:t>
      </w:r>
      <w:proofErr w:type="spellEnd"/>
      <w:r w:rsidRPr="00CE14B9">
        <w:rPr>
          <w:color w:val="31849B" w:themeColor="accent5" w:themeShade="BF"/>
        </w:rPr>
        <w:t xml:space="preserve"> in this category found to be significantly </w:t>
      </w:r>
      <w:proofErr w:type="spellStart"/>
      <w:r w:rsidRPr="00CE14B9">
        <w:rPr>
          <w:color w:val="31849B" w:themeColor="accent5" w:themeShade="BF"/>
        </w:rPr>
        <w:t>upregulated</w:t>
      </w:r>
      <w:proofErr w:type="spellEnd"/>
      <w:r w:rsidRPr="00CE14B9">
        <w:rPr>
          <w:color w:val="31849B" w:themeColor="accent5" w:themeShade="BF"/>
        </w:rPr>
        <w:t xml:space="preserve"> include </w:t>
      </w:r>
      <w:r w:rsidRPr="00CE14B9">
        <w:rPr>
          <w:i/>
          <w:color w:val="31849B" w:themeColor="accent5" w:themeShade="BF"/>
        </w:rPr>
        <w:t>Acetyl-CoA carboxylase alpha</w:t>
      </w:r>
      <w:r w:rsidRPr="00CE14B9">
        <w:rPr>
          <w:color w:val="31849B" w:themeColor="accent5" w:themeShade="BF"/>
        </w:rPr>
        <w:t xml:space="preserve"> (</w:t>
      </w:r>
      <w:r w:rsidRPr="00CE14B9">
        <w:rPr>
          <w:i/>
          <w:color w:val="31849B" w:themeColor="accent5" w:themeShade="BF"/>
        </w:rPr>
        <w:t>ACACA</w:t>
      </w:r>
      <w:r w:rsidRPr="00CE14B9">
        <w:rPr>
          <w:color w:val="31849B" w:themeColor="accent5" w:themeShade="BF"/>
        </w:rPr>
        <w:t xml:space="preserve">), responsible for the first step of </w:t>
      </w:r>
      <w:proofErr w:type="spellStart"/>
      <w:r w:rsidRPr="00CE14B9">
        <w:rPr>
          <w:color w:val="31849B" w:themeColor="accent5" w:themeShade="BF"/>
        </w:rPr>
        <w:t>lipogenesis</w:t>
      </w:r>
      <w:proofErr w:type="spellEnd"/>
      <w:r w:rsidRPr="00CE14B9">
        <w:rPr>
          <w:color w:val="31849B" w:themeColor="accent5" w:themeShade="BF"/>
        </w:rPr>
        <w:t xml:space="preserve"> (the irreversible conversion of acetyl-CoA to </w:t>
      </w:r>
      <w:proofErr w:type="spellStart"/>
      <w:r w:rsidRPr="00CE14B9">
        <w:rPr>
          <w:color w:val="31849B" w:themeColor="accent5" w:themeShade="BF"/>
        </w:rPr>
        <w:t>malonyl</w:t>
      </w:r>
      <w:proofErr w:type="spellEnd"/>
      <w:r w:rsidRPr="00CE14B9">
        <w:rPr>
          <w:color w:val="31849B" w:themeColor="accent5" w:themeShade="BF"/>
        </w:rPr>
        <w:t xml:space="preserve">-CoA) and </w:t>
      </w:r>
      <w:r w:rsidRPr="00CE14B9">
        <w:rPr>
          <w:i/>
          <w:color w:val="31849B" w:themeColor="accent5" w:themeShade="BF"/>
        </w:rPr>
        <w:t xml:space="preserve">Glycerol-3-phospahte </w:t>
      </w:r>
      <w:proofErr w:type="spellStart"/>
      <w:r w:rsidRPr="00CE14B9">
        <w:rPr>
          <w:i/>
          <w:color w:val="31849B" w:themeColor="accent5" w:themeShade="BF"/>
        </w:rPr>
        <w:t>acyltransferase</w:t>
      </w:r>
      <w:proofErr w:type="spellEnd"/>
      <w:r w:rsidRPr="00CE14B9">
        <w:rPr>
          <w:color w:val="31849B" w:themeColor="accent5" w:themeShade="BF"/>
        </w:rPr>
        <w:t xml:space="preserve"> (</w:t>
      </w:r>
      <w:r w:rsidRPr="00CE14B9">
        <w:rPr>
          <w:i/>
          <w:color w:val="31849B" w:themeColor="accent5" w:themeShade="BF"/>
        </w:rPr>
        <w:t>GPAM</w:t>
      </w:r>
      <w:r w:rsidRPr="00CE14B9">
        <w:rPr>
          <w:color w:val="31849B" w:themeColor="accent5" w:themeShade="BF"/>
        </w:rPr>
        <w:t xml:space="preserve">) is responsible for the committed step in the synthesis of </w:t>
      </w:r>
      <w:proofErr w:type="spellStart"/>
      <w:r w:rsidRPr="00CE14B9">
        <w:rPr>
          <w:color w:val="31849B" w:themeColor="accent5" w:themeShade="BF"/>
        </w:rPr>
        <w:t>glyceroplipids</w:t>
      </w:r>
      <w:proofErr w:type="spellEnd"/>
      <w:r w:rsidRPr="00CE14B9">
        <w:rPr>
          <w:color w:val="31849B" w:themeColor="accent5" w:themeShade="BF"/>
        </w:rPr>
        <w:t>. In addition to a shift towards lipid storage, we also observed elevated expression of glycogen synthesis mRNA transcripts in the Cushing's disease patients.</w:t>
      </w:r>
      <w:r w:rsidRPr="00CE14B9">
        <w:rPr>
          <w:rFonts w:ascii="Arial" w:eastAsia="Times New Roman" w:hAnsi="Arial" w:cs="Arial"/>
          <w:color w:val="31849B" w:themeColor="accent5" w:themeShade="BF"/>
          <w:sz w:val="20"/>
          <w:szCs w:val="20"/>
          <w:lang w:bidi="he-IL"/>
        </w:rPr>
        <w:t xml:space="preserve"> </w:t>
      </w:r>
      <w:r w:rsidRPr="00CE14B9">
        <w:rPr>
          <w:color w:val="31849B" w:themeColor="accent5" w:themeShade="BF"/>
        </w:rPr>
        <w:t xml:space="preserve">Most notably of these are significantly elevated mRNA transcripts </w:t>
      </w:r>
      <w:r w:rsidRPr="00CE14B9">
        <w:rPr>
          <w:i/>
          <w:color w:val="31849B" w:themeColor="accent5" w:themeShade="BF"/>
        </w:rPr>
        <w:t>Glycogen synthase 2</w:t>
      </w:r>
      <w:r w:rsidRPr="00CE14B9">
        <w:rPr>
          <w:color w:val="31849B" w:themeColor="accent5" w:themeShade="BF"/>
        </w:rPr>
        <w:t xml:space="preserve"> (</w:t>
      </w:r>
      <w:r w:rsidRPr="00CE14B9">
        <w:rPr>
          <w:i/>
          <w:color w:val="31849B" w:themeColor="accent5" w:themeShade="BF"/>
        </w:rPr>
        <w:t>GYS2</w:t>
      </w:r>
      <w:r w:rsidRPr="00CE14B9">
        <w:rPr>
          <w:color w:val="31849B" w:themeColor="accent5" w:themeShade="BF"/>
        </w:rPr>
        <w:t xml:space="preserve">) and </w:t>
      </w:r>
      <w:r w:rsidRPr="00CE14B9">
        <w:rPr>
          <w:i/>
          <w:color w:val="31849B" w:themeColor="accent5" w:themeShade="BF"/>
        </w:rPr>
        <w:t xml:space="preserve">UDP-glucose </w:t>
      </w:r>
      <w:proofErr w:type="spellStart"/>
      <w:r w:rsidRPr="00CE14B9">
        <w:rPr>
          <w:i/>
          <w:color w:val="31849B" w:themeColor="accent5" w:themeShade="BF"/>
        </w:rPr>
        <w:t>pyrophosphorylase</w:t>
      </w:r>
      <w:proofErr w:type="spellEnd"/>
      <w:r w:rsidRPr="00CE14B9">
        <w:rPr>
          <w:i/>
          <w:color w:val="31849B" w:themeColor="accent5" w:themeShade="BF"/>
        </w:rPr>
        <w:t xml:space="preserve"> 2</w:t>
      </w:r>
      <w:r w:rsidRPr="00CE14B9">
        <w:rPr>
          <w:color w:val="31849B" w:themeColor="accent5" w:themeShade="BF"/>
        </w:rPr>
        <w:t xml:space="preserve"> (</w:t>
      </w:r>
      <w:r w:rsidRPr="00CE14B9">
        <w:rPr>
          <w:i/>
          <w:color w:val="31849B" w:themeColor="accent5" w:themeShade="BF"/>
        </w:rPr>
        <w:t>UGP2</w:t>
      </w:r>
      <w:r w:rsidRPr="00CE14B9">
        <w:rPr>
          <w:color w:val="31849B" w:themeColor="accent5" w:themeShade="BF"/>
        </w:rPr>
        <w:t xml:space="preserve">), both of which are required for first steps in glycogen synthesis. </w:t>
      </w:r>
    </w:p>
    <w:p w14:paraId="6FE1FFC3" w14:textId="430DCD4C"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12"/>
      <w:r w:rsidRPr="0075433D">
        <w:rPr>
          <w:rFonts w:ascii="Times New Roman" w:eastAsia="Times New Roman" w:hAnsi="Times New Roman" w:cs="Times New Roman"/>
          <w:b/>
          <w:color w:val="212121"/>
          <w:sz w:val="22"/>
          <w:shd w:val="clear" w:color="auto" w:fill="FFFFFF"/>
        </w:rPr>
        <w:t>This description has now added to the methods section.</w:t>
      </w:r>
      <w:commentRangeEnd w:id="12"/>
      <w:r w:rsidR="00264E8B">
        <w:rPr>
          <w:rStyle w:val="CommentReference"/>
        </w:rPr>
        <w:commentReference w:id="12"/>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1" w:author="Innocence Harvey" w:date="2015-04-28T11:10:00Z" w:initials="IH">
    <w:p w14:paraId="5B1429A0" w14:textId="77777777" w:rsidR="005868E2" w:rsidRDefault="005868E2" w:rsidP="005868E2">
      <w:pPr>
        <w:pStyle w:val="CommentText"/>
      </w:pPr>
      <w:r>
        <w:rPr>
          <w:rStyle w:val="CommentReference"/>
        </w:rPr>
        <w:annotationRef/>
      </w:r>
      <w:r>
        <w:t>This is from the paper you told me to discuss so you should have it for citation purposes. If not I can send info.</w:t>
      </w:r>
    </w:p>
  </w:comment>
  <w:comment w:id="2" w:author="Innocence Harvey" w:date="2015-04-28T11:10:00Z" w:initials="IH">
    <w:p w14:paraId="2F8DBDD6" w14:textId="77777777" w:rsidR="005868E2" w:rsidRDefault="005868E2"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5868E2" w:rsidRDefault="005868E2"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 xml:space="preserve">Dexamethasone and 11-dehydrodexamethasone as tools to investigate the </w:t>
      </w:r>
      <w:proofErr w:type="spellStart"/>
      <w:r>
        <w:rPr>
          <w:rFonts w:ascii="Lucida Sans Unicode" w:hAnsi="Lucida Sans Unicode" w:cs="Lucida Sans Unicode"/>
          <w:color w:val="0E0E0E"/>
          <w:sz w:val="32"/>
          <w:szCs w:val="32"/>
        </w:rPr>
        <w:t>isozymes</w:t>
      </w:r>
      <w:proofErr w:type="spellEnd"/>
      <w:r>
        <w:rPr>
          <w:rFonts w:ascii="Lucida Sans Unicode" w:hAnsi="Lucida Sans Unicode" w:cs="Lucida Sans Unicode"/>
          <w:color w:val="0E0E0E"/>
          <w:sz w:val="32"/>
          <w:szCs w:val="32"/>
        </w:rPr>
        <w:t xml:space="preserve"> of 11β-</w:t>
      </w:r>
      <w:proofErr w:type="spellStart"/>
      <w:r>
        <w:rPr>
          <w:rFonts w:ascii="Lucida Sans Unicode" w:hAnsi="Lucida Sans Unicode" w:cs="Lucida Sans Unicode"/>
          <w:color w:val="0E0E0E"/>
          <w:sz w:val="32"/>
          <w:szCs w:val="32"/>
        </w:rPr>
        <w:t>hydroxysteroid</w:t>
      </w:r>
      <w:proofErr w:type="spellEnd"/>
      <w:r>
        <w:rPr>
          <w:rFonts w:ascii="Lucida Sans Unicode" w:hAnsi="Lucida Sans Unicode" w:cs="Lucida Sans Unicode"/>
          <w:color w:val="0E0E0E"/>
          <w:sz w:val="32"/>
          <w:szCs w:val="32"/>
        </w:rPr>
        <w:t xml:space="preserve"> dehydrogenase in vitro and in vivo</w:t>
      </w:r>
    </w:p>
    <w:p w14:paraId="20D304B4" w14:textId="77777777" w:rsidR="005868E2" w:rsidRDefault="005868E2"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 xml:space="preserve">J </w:t>
      </w:r>
      <w:proofErr w:type="spellStart"/>
      <w:r>
        <w:rPr>
          <w:rFonts w:ascii="Lucida Sans Unicode" w:hAnsi="Lucida Sans Unicode" w:cs="Lucida Sans Unicode"/>
          <w:color w:val="1A1A1A"/>
          <w:sz w:val="32"/>
          <w:szCs w:val="32"/>
        </w:rPr>
        <w:t>Endocrinol</w:t>
      </w:r>
      <w:proofErr w:type="spellEnd"/>
      <w:r>
        <w:rPr>
          <w:rFonts w:ascii="Lucida Sans Unicode" w:hAnsi="Lucida Sans Unicode" w:cs="Lucida Sans Unicode"/>
          <w:color w:val="1A1A1A"/>
          <w:sz w:val="32"/>
          <w:szCs w:val="32"/>
        </w:rPr>
        <w:t xml:space="preserve"> 153 (1) 41-48</w:t>
      </w:r>
    </w:p>
    <w:p w14:paraId="5A682DC1" w14:textId="77777777" w:rsidR="005868E2" w:rsidRDefault="005868E2" w:rsidP="005868E2">
      <w:pPr>
        <w:pStyle w:val="CommentText"/>
        <w:rPr>
          <w:rFonts w:ascii="Lucida Sans Unicode" w:hAnsi="Lucida Sans Unicode" w:cs="Lucida Sans Unicode"/>
          <w:color w:val="1A1A1A"/>
          <w:sz w:val="32"/>
          <w:szCs w:val="32"/>
        </w:rPr>
      </w:pPr>
    </w:p>
    <w:p w14:paraId="69B02013" w14:textId="77777777" w:rsidR="005868E2" w:rsidRDefault="005868E2"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3" w:author="Innocence Harvey" w:date="2015-04-28T11:10:00Z" w:initials="IH">
    <w:p w14:paraId="24CB6660" w14:textId="77777777" w:rsidR="005868E2" w:rsidRPr="00330800" w:rsidRDefault="005868E2"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w:t>
      </w:r>
      <w:proofErr w:type="gramStart"/>
      <w:r w:rsidRPr="00330800">
        <w:rPr>
          <w:rFonts w:ascii="AdvOT4cf3b017" w:hAnsi="AdvOT4cf3b017"/>
          <w:sz w:val="18"/>
          <w:szCs w:val="18"/>
        </w:rPr>
        <w:t>:10.1098</w:t>
      </w:r>
      <w:proofErr w:type="gramEnd"/>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5868E2" w:rsidRDefault="005868E2" w:rsidP="005868E2">
      <w:pPr>
        <w:pStyle w:val="CommentText"/>
      </w:pPr>
      <w:r>
        <w:t>Vinson et al.</w:t>
      </w:r>
    </w:p>
    <w:p w14:paraId="23612969" w14:textId="77777777" w:rsidR="005868E2" w:rsidRDefault="005868E2"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5868E2" w:rsidRDefault="005868E2" w:rsidP="005868E2">
      <w:pPr>
        <w:spacing w:before="100" w:beforeAutospacing="1" w:after="100" w:afterAutospacing="1"/>
        <w:rPr>
          <w:rFonts w:ascii="AdvOTa6218b5d.B" w:hAnsi="AdvOTa6218b5d.B" w:cs="Times New Roman" w:hint="eastAsia"/>
          <w:sz w:val="42"/>
          <w:szCs w:val="42"/>
        </w:rPr>
      </w:pPr>
    </w:p>
    <w:p w14:paraId="47F9B87E"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w:t>
      </w:r>
      <w:proofErr w:type="spellStart"/>
      <w:r w:rsidRPr="005E6A67">
        <w:rPr>
          <w:rFonts w:ascii="NewCenturySchlbk" w:hAnsi="NewCenturySchlbk" w:cs="Times New Roman"/>
          <w:b/>
          <w:bCs/>
          <w:sz w:val="36"/>
          <w:szCs w:val="36"/>
        </w:rPr>
        <w:t>Corticosterone</w:t>
      </w:r>
      <w:proofErr w:type="spellEnd"/>
      <w:r w:rsidRPr="005E6A67">
        <w:rPr>
          <w:rFonts w:ascii="NewCenturySchlbk" w:hAnsi="NewCenturySchlbk" w:cs="Times New Roman"/>
          <w:b/>
          <w:bCs/>
          <w:sz w:val="36"/>
          <w:szCs w:val="36"/>
        </w:rPr>
        <w:t xml:space="preserve"> Metabolism in Obese </w:t>
      </w:r>
      <w:proofErr w:type="spellStart"/>
      <w:r w:rsidRPr="005E6A67">
        <w:rPr>
          <w:rFonts w:ascii="NewCenturySchlbk" w:hAnsi="NewCenturySchlbk" w:cs="Times New Roman"/>
          <w:b/>
          <w:bCs/>
          <w:sz w:val="36"/>
          <w:szCs w:val="36"/>
        </w:rPr>
        <w:t>Zucker</w:t>
      </w:r>
      <w:proofErr w:type="spellEnd"/>
      <w:r w:rsidRPr="005E6A67">
        <w:rPr>
          <w:rFonts w:ascii="NewCenturySchlbk" w:hAnsi="NewCenturySchlbk" w:cs="Times New Roman"/>
          <w:b/>
          <w:bCs/>
          <w:sz w:val="36"/>
          <w:szCs w:val="36"/>
        </w:rPr>
        <w:t xml:space="preserve"> Rats* </w:t>
      </w:r>
    </w:p>
    <w:p w14:paraId="52DB2544" w14:textId="77777777" w:rsidR="005868E2" w:rsidRPr="005E6A67" w:rsidRDefault="005868E2"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5868E2" w:rsidRPr="00330800" w:rsidRDefault="005868E2" w:rsidP="005868E2">
      <w:pPr>
        <w:spacing w:before="100" w:beforeAutospacing="1" w:after="100" w:afterAutospacing="1"/>
        <w:rPr>
          <w:rFonts w:ascii="Times" w:hAnsi="Times" w:cs="Times New Roman"/>
          <w:sz w:val="20"/>
          <w:szCs w:val="20"/>
        </w:rPr>
      </w:pPr>
    </w:p>
    <w:p w14:paraId="54DB4CF2" w14:textId="77777777" w:rsidR="005868E2" w:rsidRDefault="005868E2" w:rsidP="005868E2">
      <w:pPr>
        <w:pStyle w:val="CommentText"/>
      </w:pPr>
    </w:p>
  </w:comment>
  <w:comment w:id="5"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p>
  </w:comment>
  <w:comment w:id="4" w:author="Dave Bridges" w:date="2015-04-09T08:36:00Z" w:initials="DB">
    <w:p w14:paraId="7B46E698" w14:textId="01729554" w:rsidR="00C82C74" w:rsidRDefault="00C82C74">
      <w:pPr>
        <w:pStyle w:val="CommentText"/>
      </w:pPr>
      <w:r>
        <w:rPr>
          <w:rStyle w:val="CommentReference"/>
        </w:rPr>
        <w:annotationRef/>
      </w:r>
      <w:r>
        <w:t>Quynh will do this</w:t>
      </w:r>
    </w:p>
  </w:comment>
  <w:comment w:id="6"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7" w:author="Quynh Tran" w:date="2015-04-27T10:51:00Z" w:initials="QT">
    <w:p w14:paraId="6F6AC5EB" w14:textId="64B3474D" w:rsidR="00D1432F" w:rsidRDefault="00D1432F">
      <w:pPr>
        <w:pStyle w:val="CommentText"/>
      </w:pPr>
      <w:r>
        <w:rPr>
          <w:rStyle w:val="CommentReference"/>
        </w:rPr>
        <w:annotationRef/>
      </w:r>
      <w:r>
        <w:t>I do not recall making this table. I’m not sure what or how the expression column were calculated here. This probably was decided for the validation, which I’m not sure if I was involved.</w:t>
      </w:r>
    </w:p>
  </w:comment>
  <w:comment w:id="8"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9"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11"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12"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C21E1"/>
    <w:rsid w:val="000E3BBD"/>
    <w:rsid w:val="00174FEB"/>
    <w:rsid w:val="0017641A"/>
    <w:rsid w:val="00264E8B"/>
    <w:rsid w:val="002734E4"/>
    <w:rsid w:val="002D344F"/>
    <w:rsid w:val="002D5D88"/>
    <w:rsid w:val="003619DC"/>
    <w:rsid w:val="00375F89"/>
    <w:rsid w:val="0048431B"/>
    <w:rsid w:val="004C715E"/>
    <w:rsid w:val="004E3631"/>
    <w:rsid w:val="005868E2"/>
    <w:rsid w:val="005D3C08"/>
    <w:rsid w:val="00636E17"/>
    <w:rsid w:val="006B66DA"/>
    <w:rsid w:val="006F241D"/>
    <w:rsid w:val="006F24A7"/>
    <w:rsid w:val="0071259A"/>
    <w:rsid w:val="0075433D"/>
    <w:rsid w:val="007607CE"/>
    <w:rsid w:val="007B1A42"/>
    <w:rsid w:val="0081738C"/>
    <w:rsid w:val="008476E2"/>
    <w:rsid w:val="008A2A23"/>
    <w:rsid w:val="009A6D8A"/>
    <w:rsid w:val="009E2CF0"/>
    <w:rsid w:val="00A12BCF"/>
    <w:rsid w:val="00A34EF3"/>
    <w:rsid w:val="00A63530"/>
    <w:rsid w:val="00A65526"/>
    <w:rsid w:val="00A91696"/>
    <w:rsid w:val="00AA205D"/>
    <w:rsid w:val="00C62E03"/>
    <w:rsid w:val="00C82C74"/>
    <w:rsid w:val="00CE14B9"/>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90689608"/>
        <c:axId val="2100656632"/>
      </c:barChart>
      <c:catAx>
        <c:axId val="2090689608"/>
        <c:scaling>
          <c:orientation val="minMax"/>
        </c:scaling>
        <c:delete val="0"/>
        <c:axPos val="b"/>
        <c:majorTickMark val="out"/>
        <c:minorTickMark val="none"/>
        <c:tickLblPos val="nextTo"/>
        <c:crossAx val="2100656632"/>
        <c:crosses val="autoZero"/>
        <c:auto val="1"/>
        <c:lblAlgn val="ctr"/>
        <c:lblOffset val="100"/>
        <c:noMultiLvlLbl val="0"/>
      </c:catAx>
      <c:valAx>
        <c:axId val="2100656632"/>
        <c:scaling>
          <c:orientation val="minMax"/>
        </c:scaling>
        <c:delete val="0"/>
        <c:axPos val="l"/>
        <c:numFmt formatCode="General" sourceLinked="1"/>
        <c:majorTickMark val="out"/>
        <c:minorTickMark val="none"/>
        <c:tickLblPos val="nextTo"/>
        <c:crossAx val="209068960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8</Pages>
  <Words>2884</Words>
  <Characters>16440</Characters>
  <Application>Microsoft Macintosh Word</Application>
  <DocSecurity>0</DocSecurity>
  <Lines>137</Lines>
  <Paragraphs>38</Paragraphs>
  <ScaleCrop>false</ScaleCrop>
  <Company>UT-HSC</Company>
  <LinksUpToDate>false</LinksUpToDate>
  <CharactersWithSpaces>19286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Innocence Harvey</cp:lastModifiedBy>
  <cp:revision>24</cp:revision>
  <dcterms:created xsi:type="dcterms:W3CDTF">2015-04-09T13:00:00Z</dcterms:created>
  <dcterms:modified xsi:type="dcterms:W3CDTF">2015-04-28T16:16:00Z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